
<file path=[Content_Types].xml><?xml version="1.0" encoding="utf-8"?>
<Types xmlns="http://schemas.openxmlformats.org/package/2006/content-types">
  <Override PartName="/word/footnotes.xml" ContentType="application/vnd.openxmlformats-officedocument.wordprocessingml.footnot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E33" w:rsidRDefault="00476E33" w:rsidP="00476E33">
      <w:pPr>
        <w:pStyle w:val="Heading1"/>
        <w:pageBreakBefore/>
      </w:pPr>
      <w:r w:rsidRPr="00395F9B">
        <w:t>Evaluation and Reflection</w:t>
      </w:r>
    </w:p>
    <w:p w:rsidR="00476E33" w:rsidRDefault="00476E33" w:rsidP="00476E33">
      <w:pPr>
        <w:pStyle w:val="APABodyParagraph"/>
        <w:rPr>
          <w:rFonts w:cs="Times New Roman"/>
          <w:shd w:val="clear" w:color="auto" w:fill="FFFFFF"/>
        </w:rPr>
      </w:pPr>
      <w:r>
        <w:t xml:space="preserve">Overall, </w:t>
      </w:r>
      <w:proofErr w:type="gramStart"/>
      <w:r>
        <w:t>I</w:t>
      </w:r>
      <w:proofErr w:type="gramEnd"/>
      <w:r>
        <w:t xml:space="preserve"> believe that the unit was a large success. </w:t>
      </w:r>
      <w:proofErr w:type="gramStart"/>
      <w:r>
        <w:t>I</w:t>
      </w:r>
      <w:proofErr w:type="gramEnd"/>
      <w:r>
        <w:t xml:space="preserve"> believe the mixture of activities from whole group to cooperative learning and lecture to hands on activities, yielded the best results for the students’ success. Additionally, students’ needed </w:t>
      </w:r>
      <w:r w:rsidRPr="00D53BC9">
        <w:rPr>
          <w:rFonts w:cs="Times New Roman"/>
        </w:rPr>
        <w:t xml:space="preserve">not only to know what graphs are and how to make them, but know how to problem solve as well. Relating graphing to </w:t>
      </w:r>
      <w:r w:rsidRPr="00D53BC9">
        <w:rPr>
          <w:rFonts w:cs="Times New Roman"/>
          <w:shd w:val="clear" w:color="auto" w:fill="FFFFFF"/>
        </w:rPr>
        <w:t>problem-based math does take more time than the traditional "I'll show - you learn" methods.  Because of this, I sometimes took longer than the 60 minute math block and looked for ways to integrate content into their math time in an effort to maximize their time and learning.</w:t>
      </w:r>
    </w:p>
    <w:p w:rsidR="00476E33" w:rsidRDefault="00476E33" w:rsidP="00476E33">
      <w:pPr>
        <w:pStyle w:val="APABodyParagraph"/>
      </w:pPr>
      <w:r w:rsidRPr="00793BE8">
        <w:rPr>
          <w:noProof/>
          <w:lang w:eastAsia="en-US"/>
        </w:rPr>
        <w:drawing>
          <wp:inline distT="0" distB="0" distL="0" distR="0">
            <wp:extent cx="5401917" cy="3301448"/>
            <wp:effectExtent l="19050" t="0" r="27333"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76E33" w:rsidRDefault="00476E33" w:rsidP="00476E33">
      <w:pPr>
        <w:pStyle w:val="APABodyParagraph"/>
      </w:pPr>
      <w:r>
        <w:t xml:space="preserve">For all of </w:t>
      </w:r>
      <w:proofErr w:type="gramStart"/>
      <w:r>
        <w:t>my</w:t>
      </w:r>
      <w:proofErr w:type="gramEnd"/>
      <w:r>
        <w:t xml:space="preserve"> learning goals, I considered that a student has mastered the goal when she demonstrates 80% accuracy tests, as well as</w:t>
      </w:r>
      <w:r w:rsidRPr="00395F9B">
        <w:t xml:space="preserve"> </w:t>
      </w:r>
      <w:r>
        <w:t xml:space="preserve">on practice exercises and homework.  Although, </w:t>
      </w:r>
      <w:proofErr w:type="gramStart"/>
      <w:r>
        <w:t>I</w:t>
      </w:r>
      <w:proofErr w:type="gramEnd"/>
      <w:r>
        <w:t xml:space="preserve"> think that the students managed to achieve the learning goals set out for them, the graph shows that there was more growth in Learning Goal #1. </w:t>
      </w:r>
      <w:proofErr w:type="gramStart"/>
      <w:r>
        <w:t>I</w:t>
      </w:r>
      <w:proofErr w:type="gramEnd"/>
      <w:r>
        <w:t xml:space="preserve"> think this is because mastering the first learning goal was most important. Since learning goal #1 focused on reading and interpreting </w:t>
      </w:r>
      <w:r>
        <w:lastRenderedPageBreak/>
        <w:t xml:space="preserve">graphs, it was essentially a prerequisite to the rest of the unit. This is what led to the success of the goal. In addition, </w:t>
      </w:r>
      <w:proofErr w:type="gramStart"/>
      <w:r>
        <w:t>I</w:t>
      </w:r>
      <w:proofErr w:type="gramEnd"/>
      <w:r>
        <w:t xml:space="preserve"> think that by continuously linking the content to the students’ real lives (i.e. asking personal questions such as “how many siblings or pets do you have?”) made it more relevant to them. This ensures that they will remember the material better than simply teaching out of the textbook. </w:t>
      </w:r>
      <w:r w:rsidRPr="00793BE8">
        <w:rPr>
          <w:highlight w:val="yellow"/>
        </w:rPr>
        <w:t>(P2)</w:t>
      </w:r>
      <w:r>
        <w:t xml:space="preserve"> The learning goals that had seen the worst outcome was Learning Goal #3. </w:t>
      </w:r>
      <w:r w:rsidRPr="00F80443">
        <w:rPr>
          <w:highlight w:val="yellow"/>
        </w:rPr>
        <w:t>(P1)</w:t>
      </w:r>
      <w:r>
        <w:t xml:space="preserve"> </w:t>
      </w:r>
      <w:proofErr w:type="gramStart"/>
      <w:r>
        <w:t>I</w:t>
      </w:r>
      <w:proofErr w:type="gramEnd"/>
      <w:r>
        <w:t xml:space="preserve"> believe this is because the goal focused on generating your own problems and solutions. Even though most of the students were able to achieve this goal with guided help, they are very literal thinkers and have a hard time creating unique problems themselves. In the future, to ensure better results, </w:t>
      </w:r>
      <w:proofErr w:type="gramStart"/>
      <w:r>
        <w:t>I</w:t>
      </w:r>
      <w:proofErr w:type="gramEnd"/>
      <w:r>
        <w:t xml:space="preserve"> would try to encourage lateral thinking. </w:t>
      </w:r>
      <w:proofErr w:type="gramStart"/>
      <w:r>
        <w:t>I</w:t>
      </w:r>
      <w:proofErr w:type="gramEnd"/>
      <w:r>
        <w:t xml:space="preserve"> would add an extra day to the unit to focus on creative problem solving and creation. I could even provide the students with answers and have </w:t>
      </w:r>
      <w:proofErr w:type="gramStart"/>
      <w:r>
        <w:t>them</w:t>
      </w:r>
      <w:proofErr w:type="gramEnd"/>
      <w:r>
        <w:t xml:space="preserve"> come up with the questions and graphs. That style of reverse teaching could potentially lead to positive results. </w:t>
      </w:r>
      <w:r w:rsidRPr="00F80443">
        <w:rPr>
          <w:highlight w:val="yellow"/>
        </w:rPr>
        <w:t>(P3)</w:t>
      </w:r>
    </w:p>
    <w:p w:rsidR="00476E33" w:rsidRDefault="00476E33" w:rsidP="00476E33">
      <w:pPr>
        <w:pStyle w:val="APABodyParagraph"/>
      </w:pPr>
      <w:r>
        <w:t xml:space="preserve">As a now practiced instructor, </w:t>
      </w:r>
      <w:proofErr w:type="gramStart"/>
      <w:r>
        <w:t>I</w:t>
      </w:r>
      <w:proofErr w:type="gramEnd"/>
      <w:r>
        <w:t xml:space="preserve"> would say that my strengths as a teacher lie in hands on application. During this </w:t>
      </w:r>
      <w:proofErr w:type="gramStart"/>
      <w:r>
        <w:t>unit</w:t>
      </w:r>
      <w:proofErr w:type="gramEnd"/>
      <w:r>
        <w:t xml:space="preserve"> movement happened a lot and the students had a ton of fun. I believe that students who can get up and move around are using whole body learning and will be more engaged and </w:t>
      </w:r>
      <w:proofErr w:type="gramStart"/>
      <w:r>
        <w:t>likely</w:t>
      </w:r>
      <w:proofErr w:type="gramEnd"/>
      <w:r>
        <w:t xml:space="preserve"> to later recall the information taught. </w:t>
      </w:r>
      <w:r w:rsidRPr="005F5E24">
        <w:rPr>
          <w:highlight w:val="yellow"/>
        </w:rPr>
        <w:t>(P4)</w:t>
      </w:r>
      <w:r>
        <w:t xml:space="preserve"> </w:t>
      </w:r>
      <w:proofErr w:type="gramStart"/>
      <w:r>
        <w:t>I</w:t>
      </w:r>
      <w:proofErr w:type="gramEnd"/>
      <w:r>
        <w:t xml:space="preserve"> do recognize that there are some areas of instruction that could use some improvement. Particularly, </w:t>
      </w:r>
      <w:proofErr w:type="gramStart"/>
      <w:r>
        <w:t>I</w:t>
      </w:r>
      <w:proofErr w:type="gramEnd"/>
      <w:r>
        <w:t xml:space="preserve"> can improve as a teacher in my time management. Often times, </w:t>
      </w:r>
      <w:proofErr w:type="gramStart"/>
      <w:r>
        <w:t>I</w:t>
      </w:r>
      <w:proofErr w:type="gramEnd"/>
      <w:r>
        <w:t xml:space="preserve"> would find that my lessons were engaging but time consuming. </w:t>
      </w:r>
      <w:proofErr w:type="gramStart"/>
      <w:r>
        <w:t>I</w:t>
      </w:r>
      <w:proofErr w:type="gramEnd"/>
      <w:r>
        <w:t xml:space="preserve"> feel that I can change this by setting a specific timeframe for the lesson to be completed in and using stopwatches to keep myself on track. </w:t>
      </w:r>
      <w:proofErr w:type="gramStart"/>
      <w:r>
        <w:t>I</w:t>
      </w:r>
      <w:proofErr w:type="gramEnd"/>
      <w:r>
        <w:t xml:space="preserve"> also often allowed discussions to take place to facilitate learning but I will need to be able to make discussions more concise in order to keep to the time allotted for the lesson. </w:t>
      </w:r>
      <w:proofErr w:type="gramStart"/>
      <w:r>
        <w:t>I</w:t>
      </w:r>
      <w:proofErr w:type="gramEnd"/>
      <w:r>
        <w:t xml:space="preserve"> am still learning, and have the rest of my </w:t>
      </w:r>
      <w:r>
        <w:lastRenderedPageBreak/>
        <w:t xml:space="preserve">internship placement to learn how to better manage this weakness. However, </w:t>
      </w:r>
      <w:proofErr w:type="gramStart"/>
      <w:r>
        <w:t>I</w:t>
      </w:r>
      <w:proofErr w:type="gramEnd"/>
      <w:r>
        <w:t xml:space="preserve"> am confident upon my reflection; I will have improved results next time. </w:t>
      </w:r>
      <w:r w:rsidRPr="005F5E24">
        <w:rPr>
          <w:highlight w:val="yellow"/>
        </w:rPr>
        <w:t>(P5)</w:t>
      </w:r>
    </w:p>
    <w:p w:rsidR="00476E33" w:rsidRDefault="00476E33" w:rsidP="00476E33">
      <w:pPr>
        <w:pStyle w:val="APABodyParagraph"/>
      </w:pPr>
      <w:r w:rsidRPr="00DE5913">
        <w:t xml:space="preserve">Upon reflection, </w:t>
      </w:r>
      <w:proofErr w:type="gramStart"/>
      <w:r w:rsidRPr="00DE5913">
        <w:t>I</w:t>
      </w:r>
      <w:proofErr w:type="gramEnd"/>
      <w:r w:rsidRPr="00DE5913">
        <w:t xml:space="preserve"> now have a better understanding on how to properly prepare and teach a whole unit plan. </w:t>
      </w:r>
      <w:r>
        <w:t xml:space="preserve">One of the main things that </w:t>
      </w:r>
      <w:proofErr w:type="gramStart"/>
      <w:r>
        <w:t>I</w:t>
      </w:r>
      <w:proofErr w:type="gramEnd"/>
      <w:r>
        <w:t xml:space="preserve"> learned from this unit is that students must be taught certain strategies to succeed on a higher plane of thinking. A troublesome discovery </w:t>
      </w:r>
      <w:proofErr w:type="gramStart"/>
      <w:r>
        <w:t>I</w:t>
      </w:r>
      <w:proofErr w:type="gramEnd"/>
      <w:r>
        <w:t xml:space="preserve"> came upon in this unit was that students could not get past one-step problems. If it required complex thinking or multiple steps, some of the students simply gave up in frustration. Teaching the prerequisites is not enough. </w:t>
      </w:r>
      <w:proofErr w:type="gramStart"/>
      <w:r>
        <w:t>My</w:t>
      </w:r>
      <w:proofErr w:type="gramEnd"/>
      <w:r>
        <w:t xml:space="preserve"> responsibility as a teacher is to teach students how to analyze problems, how to break those problems down into more manageable steps, and how to figure out which skills to apply to each step. </w:t>
      </w:r>
      <w:proofErr w:type="gramStart"/>
      <w:r>
        <w:t>I</w:t>
      </w:r>
      <w:proofErr w:type="gramEnd"/>
      <w:r>
        <w:t xml:space="preserve"> think the use of the gradual release model was an excellent way to achieve this, by giving students a scaffold to lean on. Additionally, implementing assessments similar to their final test about halfway through the material was beneficial, so </w:t>
      </w:r>
      <w:proofErr w:type="gramStart"/>
      <w:r>
        <w:t>I</w:t>
      </w:r>
      <w:proofErr w:type="gramEnd"/>
      <w:r>
        <w:t xml:space="preserve"> could see if my instruction was taking effect. </w:t>
      </w:r>
      <w:proofErr w:type="gramStart"/>
      <w:r w:rsidRPr="00DE5913">
        <w:t>I</w:t>
      </w:r>
      <w:proofErr w:type="gramEnd"/>
      <w:r w:rsidRPr="00DE5913">
        <w:t xml:space="preserve"> now see how using encompassing, as much as possible, all strategies in teaching, learning, and assessment can deepen student learning.</w:t>
      </w:r>
      <w:r>
        <w:t xml:space="preserve"> </w:t>
      </w:r>
      <w:r w:rsidRPr="005F5E24">
        <w:rPr>
          <w:highlight w:val="yellow"/>
        </w:rPr>
        <w:t>(</w:t>
      </w:r>
      <w:r>
        <w:rPr>
          <w:highlight w:val="yellow"/>
        </w:rPr>
        <w:t>P6</w:t>
      </w:r>
      <w:r>
        <w:t>)</w:t>
      </w:r>
    </w:p>
    <w:p w:rsidR="008A75BE" w:rsidRPr="00476E33" w:rsidRDefault="00C900B0" w:rsidP="00476E33"/>
    <w:sectPr w:rsidR="008A75BE" w:rsidRPr="00476E33" w:rsidSect="00912746">
      <w:headerReference w:type="default" r:id="rId8"/>
      <w:pgSz w:w="12240" w:h="15840"/>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00B0" w:rsidRDefault="00C900B0" w:rsidP="00F60E8E">
      <w:pPr>
        <w:spacing w:line="240" w:lineRule="auto"/>
      </w:pPr>
      <w:r>
        <w:separator/>
      </w:r>
    </w:p>
  </w:endnote>
  <w:endnote w:type="continuationSeparator" w:id="0">
    <w:p w:rsidR="00C900B0" w:rsidRDefault="00C900B0" w:rsidP="00F60E8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00B0" w:rsidRDefault="00C900B0" w:rsidP="00F60E8E">
      <w:pPr>
        <w:spacing w:line="240" w:lineRule="auto"/>
      </w:pPr>
      <w:r>
        <w:separator/>
      </w:r>
    </w:p>
  </w:footnote>
  <w:footnote w:type="continuationSeparator" w:id="0">
    <w:p w:rsidR="00C900B0" w:rsidRDefault="00C900B0" w:rsidP="00F60E8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602A" w:rsidRDefault="004470AC" w:rsidP="0075375C">
    <w:pPr>
      <w:pStyle w:val="Header"/>
      <w:tabs>
        <w:tab w:val="clear" w:pos="4680"/>
      </w:tabs>
      <w:spacing w:after="240" w:line="480" w:lineRule="auto"/>
    </w:pPr>
    <w:r w:rsidRPr="00B46083">
      <w:rPr>
        <w:caps/>
      </w:rPr>
      <w:t>Teacher Work Sample</w:t>
    </w:r>
    <w:r>
      <w:tab/>
    </w:r>
    <w:r w:rsidR="00B1136C">
      <w:fldChar w:fldCharType="begin"/>
    </w:r>
    <w:r>
      <w:instrText xml:space="preserve"> PAGE  \* Arabic  \* MERGEFORMAT </w:instrText>
    </w:r>
    <w:r w:rsidR="00B1136C">
      <w:fldChar w:fldCharType="separate"/>
    </w:r>
    <w:r w:rsidR="00476E33">
      <w:rPr>
        <w:noProof/>
      </w:rPr>
      <w:t>1</w:t>
    </w:r>
    <w:r w:rsidR="00B1136C">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D2B78"/>
    <w:multiLevelType w:val="hybridMultilevel"/>
    <w:tmpl w:val="0A722756"/>
    <w:lvl w:ilvl="0" w:tplc="8CEEF724">
      <w:start w:val="1"/>
      <w:numFmt w:val="decimal"/>
      <w:pStyle w:val="APANumberedList"/>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27677"/>
    <w:rsid w:val="001A6C1D"/>
    <w:rsid w:val="00327677"/>
    <w:rsid w:val="004470AC"/>
    <w:rsid w:val="00476E33"/>
    <w:rsid w:val="005C1500"/>
    <w:rsid w:val="00656659"/>
    <w:rsid w:val="00657DF0"/>
    <w:rsid w:val="00B1136C"/>
    <w:rsid w:val="00C900B0"/>
    <w:rsid w:val="00CB362D"/>
    <w:rsid w:val="00D53BC9"/>
    <w:rsid w:val="00E47D0F"/>
    <w:rsid w:val="00EF218F"/>
    <w:rsid w:val="00F60E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27677"/>
    <w:pPr>
      <w:spacing w:after="0" w:line="480" w:lineRule="auto"/>
    </w:pPr>
    <w:rPr>
      <w:rFonts w:ascii="Times New Roman" w:eastAsiaTheme="minorEastAsia" w:hAnsi="Times New Roman"/>
      <w:sz w:val="24"/>
      <w:lang w:eastAsia="zh-CN"/>
    </w:rPr>
  </w:style>
  <w:style w:type="paragraph" w:styleId="Heading1">
    <w:name w:val="heading 1"/>
    <w:basedOn w:val="Normal"/>
    <w:next w:val="APABodyParagraph"/>
    <w:link w:val="Heading1Char"/>
    <w:uiPriority w:val="9"/>
    <w:qFormat/>
    <w:rsid w:val="00327677"/>
    <w:pPr>
      <w:keepNext/>
      <w:keepLines/>
      <w:jc w:val="center"/>
      <w:outlineLvl w:val="0"/>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7677"/>
    <w:rPr>
      <w:rFonts w:ascii="Times New Roman" w:eastAsiaTheme="minorEastAsia" w:hAnsi="Times New Roman"/>
      <w:b/>
      <w:sz w:val="28"/>
      <w:lang w:eastAsia="zh-CN"/>
    </w:rPr>
  </w:style>
  <w:style w:type="paragraph" w:customStyle="1" w:styleId="APABodyParagraph">
    <w:name w:val="APA Body Paragraph"/>
    <w:basedOn w:val="Normal"/>
    <w:link w:val="APABodyParagraphChar"/>
    <w:qFormat/>
    <w:rsid w:val="00327677"/>
    <w:pPr>
      <w:ind w:firstLine="720"/>
    </w:pPr>
  </w:style>
  <w:style w:type="character" w:customStyle="1" w:styleId="APABodyParagraphChar">
    <w:name w:val="APA Body Paragraph Char"/>
    <w:basedOn w:val="DefaultParagraphFont"/>
    <w:link w:val="APABodyParagraph"/>
    <w:rsid w:val="00327677"/>
    <w:rPr>
      <w:rFonts w:ascii="Times New Roman" w:eastAsiaTheme="minorEastAsia" w:hAnsi="Times New Roman"/>
      <w:sz w:val="24"/>
      <w:lang w:eastAsia="zh-CN"/>
    </w:rPr>
  </w:style>
  <w:style w:type="paragraph" w:styleId="Header">
    <w:name w:val="header"/>
    <w:basedOn w:val="Normal"/>
    <w:link w:val="HeaderChar"/>
    <w:uiPriority w:val="99"/>
    <w:unhideWhenUsed/>
    <w:rsid w:val="00327677"/>
    <w:pPr>
      <w:tabs>
        <w:tab w:val="center" w:pos="4680"/>
        <w:tab w:val="right" w:pos="9360"/>
      </w:tabs>
      <w:spacing w:line="240" w:lineRule="auto"/>
    </w:pPr>
  </w:style>
  <w:style w:type="character" w:customStyle="1" w:styleId="HeaderChar">
    <w:name w:val="Header Char"/>
    <w:basedOn w:val="DefaultParagraphFont"/>
    <w:link w:val="Header"/>
    <w:uiPriority w:val="99"/>
    <w:rsid w:val="00327677"/>
    <w:rPr>
      <w:rFonts w:ascii="Times New Roman" w:eastAsiaTheme="minorEastAsia" w:hAnsi="Times New Roman"/>
      <w:sz w:val="24"/>
      <w:lang w:eastAsia="zh-CN"/>
    </w:rPr>
  </w:style>
  <w:style w:type="paragraph" w:customStyle="1" w:styleId="APANumberedList">
    <w:name w:val="APA Numbered List"/>
    <w:basedOn w:val="Normal"/>
    <w:link w:val="APANumberedListChar"/>
    <w:qFormat/>
    <w:rsid w:val="00EF218F"/>
    <w:pPr>
      <w:numPr>
        <w:numId w:val="1"/>
      </w:numPr>
      <w:ind w:left="1080"/>
    </w:pPr>
  </w:style>
  <w:style w:type="character" w:customStyle="1" w:styleId="APANumberedListChar">
    <w:name w:val="APA Numbered List Char"/>
    <w:basedOn w:val="DefaultParagraphFont"/>
    <w:link w:val="APANumberedList"/>
    <w:rsid w:val="00EF218F"/>
    <w:rPr>
      <w:rFonts w:ascii="Times New Roman" w:eastAsiaTheme="minorEastAsia" w:hAnsi="Times New Roman"/>
      <w:sz w:val="24"/>
      <w:lang w:eastAsia="zh-CN"/>
    </w:rPr>
  </w:style>
  <w:style w:type="paragraph" w:styleId="BalloonText">
    <w:name w:val="Balloon Text"/>
    <w:basedOn w:val="Normal"/>
    <w:link w:val="BalloonTextChar"/>
    <w:uiPriority w:val="99"/>
    <w:semiHidden/>
    <w:unhideWhenUsed/>
    <w:rsid w:val="00476E3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6E33"/>
    <w:rPr>
      <w:rFonts w:ascii="Tahoma" w:eastAsiaTheme="minorEastAsia" w:hAnsi="Tahoma" w:cs="Tahoma"/>
      <w:sz w:val="16"/>
      <w:szCs w:val="16"/>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Delfi\Downloads\TWS_GraphMaker_5.1.2.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lrMapOvr bg1="lt1" tx1="dk1" bg2="lt2" tx2="dk2" accent1="accent1" accent2="accent2" accent3="accent3" accent4="accent4" accent5="accent5" accent6="accent6" hlink="hlink" folHlink="folHlink"/>
  <c:chart>
    <c:title>
      <c:tx>
        <c:rich>
          <a:bodyPr/>
          <a:lstStyle/>
          <a:p>
            <a:pPr>
              <a:defRPr sz="1800" b="1" i="0" u="none" strike="noStrike" baseline="0">
                <a:solidFill>
                  <a:srgbClr val="000000"/>
                </a:solidFill>
                <a:latin typeface="Calibri"/>
                <a:ea typeface="Calibri"/>
                <a:cs typeface="Calibri"/>
              </a:defRPr>
            </a:pPr>
            <a:r>
              <a:rPr lang="en-US"/>
              <a:t>Pre/Post Assessment Scores by Learning Goal</a:t>
            </a:r>
          </a:p>
        </c:rich>
      </c:tx>
      <c:layout>
        <c:manualLayout>
          <c:xMode val="edge"/>
          <c:yMode val="edge"/>
          <c:x val="0.17694035595373925"/>
          <c:y val="3.322893960288862E-2"/>
        </c:manualLayout>
      </c:layout>
    </c:title>
    <c:plotArea>
      <c:layout>
        <c:manualLayout>
          <c:layoutTarget val="inner"/>
          <c:xMode val="edge"/>
          <c:yMode val="edge"/>
          <c:x val="0.11167488679299695"/>
          <c:y val="0.22537723991769743"/>
          <c:w val="0.86146308634497615"/>
          <c:h val="0.55727055544731818"/>
        </c:manualLayout>
      </c:layout>
      <c:barChart>
        <c:barDir val="col"/>
        <c:grouping val="clustered"/>
        <c:ser>
          <c:idx val="0"/>
          <c:order val="0"/>
          <c:tx>
            <c:v>Pre %</c:v>
          </c:tx>
          <c:dLbls>
            <c:spPr>
              <a:noFill/>
              <a:ln>
                <a:noFill/>
              </a:ln>
              <a:effectLst/>
            </c:spPr>
            <c:txPr>
              <a:bodyPr/>
              <a:lstStyle/>
              <a:p>
                <a:pP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val>
            <c:numRef>
              <c:f>TWS_GraphMaker_5.1.2.xlsx!LG_PreScores</c:f>
              <c:numCache>
                <c:formatCode>0.0%</c:formatCode>
                <c:ptCount val="4"/>
                <c:pt idx="0">
                  <c:v>0.35555555555555557</c:v>
                </c:pt>
                <c:pt idx="1">
                  <c:v>0.37777777777777827</c:v>
                </c:pt>
                <c:pt idx="2">
                  <c:v>0.43333333333333335</c:v>
                </c:pt>
                <c:pt idx="3">
                  <c:v>0.48888888888888959</c:v>
                </c:pt>
              </c:numCache>
            </c:numRef>
          </c:val>
          <c:extLst>
            <c:ext xmlns:c15="http://schemas.microsoft.com/office/drawing/2012/chart" uri="{02D57815-91ED-43cb-92C2-25804820EDAC}">
              <c15:filteredCategoryTitle>
                <c15:cat>
                  <c:multiLvlStrRef>
                    <c:extLst>
                      <c:ext uri="{02D57815-91ED-43cb-92C2-25804820EDAC}">
                        <c15:formulaRef>
                          <c15:sqref>[0]!LG_Labels</c15:sqref>
                        </c15:formulaRef>
                      </c:ext>
                    </c:extLst>
                  </c:multiLvlStrRef>
                </c15:cat>
              </c15:filteredCategoryTitle>
            </c:ext>
          </c:extLst>
        </c:ser>
        <c:ser>
          <c:idx val="1"/>
          <c:order val="1"/>
          <c:tx>
            <c:v>Post %</c:v>
          </c:tx>
          <c:dLbls>
            <c:spPr>
              <a:noFill/>
              <a:ln>
                <a:noFill/>
              </a:ln>
              <a:effectLst/>
            </c:spPr>
            <c:txPr>
              <a:bodyPr/>
              <a:lstStyle/>
              <a:p>
                <a:pPr>
                  <a:defRPr sz="1000" b="0" i="0" u="none" strike="noStrike" baseline="0">
                    <a:solidFill>
                      <a:srgbClr val="000000"/>
                    </a:solidFill>
                    <a:latin typeface="Calibri"/>
                    <a:ea typeface="Calibri"/>
                    <a:cs typeface="Calibri"/>
                  </a:defRPr>
                </a:pPr>
                <a:endParaRPr lang="en-US"/>
              </a:p>
            </c:txPr>
            <c:showVal val="1"/>
            <c:extLst>
              <c:ext xmlns:c15="http://schemas.microsoft.com/office/drawing/2012/chart" uri="{CE6537A1-D6FC-4f65-9D91-7224C49458BB}">
                <c15:showLeaderLines val="0"/>
              </c:ext>
            </c:extLst>
          </c:dLbls>
          <c:val>
            <c:numRef>
              <c:f>TWS_GraphMaker_5.1.2.xlsx!LG_PostScores</c:f>
              <c:numCache>
                <c:formatCode>0.0%</c:formatCode>
                <c:ptCount val="4"/>
                <c:pt idx="0">
                  <c:v>0.85555555555555562</c:v>
                </c:pt>
                <c:pt idx="1">
                  <c:v>0.8222222222222223</c:v>
                </c:pt>
                <c:pt idx="2">
                  <c:v>0.844444444444445</c:v>
                </c:pt>
                <c:pt idx="3">
                  <c:v>0.91111111111111109</c:v>
                </c:pt>
              </c:numCache>
            </c:numRef>
          </c:val>
          <c:extLst>
            <c:ext xmlns:c15="http://schemas.microsoft.com/office/drawing/2012/chart" uri="{02D57815-91ED-43cb-92C2-25804820EDAC}">
              <c15:filteredCategoryTitle>
                <c15:cat>
                  <c:multiLvlStrRef>
                    <c:extLst>
                      <c:ext uri="{02D57815-91ED-43cb-92C2-25804820EDAC}">
                        <c15:formulaRef>
                          <c15:sqref>[0]!LG_Labels</c15:sqref>
                        </c15:formulaRef>
                      </c:ext>
                    </c:extLst>
                  </c:multiLvlStrRef>
                </c15:cat>
              </c15:filteredCategoryTitle>
            </c:ext>
          </c:extLst>
        </c:ser>
        <c:gapWidth val="75"/>
        <c:overlap val="-25"/>
        <c:axId val="60504320"/>
        <c:axId val="60514304"/>
      </c:barChart>
      <c:catAx>
        <c:axId val="60504320"/>
        <c:scaling>
          <c:orientation val="minMax"/>
        </c:scaling>
        <c:axPos val="b"/>
        <c:numFmt formatCode="General" sourceLinked="1"/>
        <c:majorTickMark val="none"/>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60514304"/>
        <c:crosses val="autoZero"/>
        <c:auto val="1"/>
        <c:lblAlgn val="ctr"/>
        <c:lblOffset val="100"/>
      </c:catAx>
      <c:valAx>
        <c:axId val="60514304"/>
        <c:scaling>
          <c:orientation val="minMax"/>
          <c:max val="1"/>
          <c:min val="0"/>
        </c:scaling>
        <c:axPos val="l"/>
        <c:majorGridlines/>
        <c:numFmt formatCode="0.0%" sourceLinked="1"/>
        <c:majorTickMark val="none"/>
        <c:tickLblPos val="nextTo"/>
        <c:spPr>
          <a:ln w="9525">
            <a:noFill/>
          </a:ln>
        </c:spPr>
        <c:txPr>
          <a:bodyPr rot="0" vert="horz"/>
          <a:lstStyle/>
          <a:p>
            <a:pPr>
              <a:defRPr sz="1000" b="0" i="0" u="none" strike="noStrike" baseline="0">
                <a:solidFill>
                  <a:srgbClr val="000000"/>
                </a:solidFill>
                <a:latin typeface="Calibri"/>
                <a:ea typeface="Calibri"/>
                <a:cs typeface="Calibri"/>
              </a:defRPr>
            </a:pPr>
            <a:endParaRPr lang="en-US"/>
          </a:p>
        </c:txPr>
        <c:crossAx val="60504320"/>
        <c:crosses val="autoZero"/>
        <c:crossBetween val="between"/>
        <c:majorUnit val="0.1"/>
      </c:valAx>
    </c:plotArea>
    <c:legend>
      <c:legendPos val="b"/>
      <c:layout>
        <c:manualLayout>
          <c:xMode val="edge"/>
          <c:yMode val="edge"/>
          <c:x val="0.391896163156285"/>
          <c:y val="0.84807924433174664"/>
          <c:w val="0.21132355805347652"/>
          <c:h val="0.12266085383394876"/>
        </c:manualLayout>
      </c:layout>
      <c:txPr>
        <a:bodyPr/>
        <a:lstStyle/>
        <a:p>
          <a:pPr>
            <a:defRPr sz="920" b="0" i="0" u="none" strike="noStrike" baseline="0">
              <a:solidFill>
                <a:srgbClr val="000000"/>
              </a:solidFill>
              <a:latin typeface="Calibri"/>
              <a:ea typeface="Calibri"/>
              <a:cs typeface="Calibri"/>
            </a:defRPr>
          </a:pPr>
          <a:endParaRPr lang="en-US"/>
        </a:p>
      </c:txPr>
    </c:legend>
    <c:plotVisOnly val="1"/>
    <c:dispBlanksAs val="gap"/>
  </c:chart>
  <c:txPr>
    <a:bodyPr/>
    <a:lstStyle/>
    <a:p>
      <a:pPr>
        <a:defRPr sz="1000" b="0" i="0" u="none" strike="noStrike" baseline="0">
          <a:solidFill>
            <a:srgbClr val="000000"/>
          </a:solidFill>
          <a:latin typeface="Calibri"/>
          <a:ea typeface="Calibri"/>
          <a:cs typeface="Calibri"/>
        </a:defRPr>
      </a:pPr>
      <a:endParaRPr lang="en-US"/>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18</TotalTime>
  <Pages>3</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Delfi</dc:creator>
  <cp:lastModifiedBy>Delfi</cp:lastModifiedBy>
  <cp:revision>7</cp:revision>
  <dcterms:created xsi:type="dcterms:W3CDTF">2015-04-16T11:02:00Z</dcterms:created>
  <dcterms:modified xsi:type="dcterms:W3CDTF">2015-04-23T06:57:00Z</dcterms:modified>
</cp:coreProperties>
</file>