
<file path=[Content_Types].xml><?xml version="1.0" encoding="utf-8"?>
<Types xmlns="http://schemas.openxmlformats.org/package/2006/content-types">
  <Override PartName="/word/footnotes.xml" ContentType="application/vnd.openxmlformats-officedocument.wordprocessingml.footnot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7B6" w:rsidRDefault="00CF47B6" w:rsidP="00CF47B6">
      <w:pPr>
        <w:pStyle w:val="Heading1"/>
        <w:pageBreakBefore/>
      </w:pPr>
      <w:r w:rsidRPr="009631F0">
        <w:t>Analysis of Student Learning</w:t>
      </w:r>
    </w:p>
    <w:p w:rsidR="00CF47B6" w:rsidRDefault="00CF47B6" w:rsidP="00CF47B6">
      <w:pPr>
        <w:pStyle w:val="APABodyParagraph"/>
      </w:pPr>
      <w:r w:rsidRPr="004959FB">
        <w:t xml:space="preserve">The pre and post assessment results definitely show that </w:t>
      </w:r>
      <w:proofErr w:type="gramStart"/>
      <w:r w:rsidRPr="004959FB">
        <w:t>my</w:t>
      </w:r>
      <w:proofErr w:type="gramEnd"/>
      <w:r w:rsidRPr="004959FB">
        <w:t xml:space="preserve"> students increased their understanding of </w:t>
      </w:r>
      <w:r>
        <w:t>graphing</w:t>
      </w:r>
      <w:r w:rsidRPr="004959FB">
        <w:t xml:space="preserve">. The class scored an average </w:t>
      </w:r>
      <w:r>
        <w:t>85.8</w:t>
      </w:r>
      <w:r w:rsidRPr="004959FB">
        <w:t>% on the post-assessment, which was an increase of 4</w:t>
      </w:r>
      <w:r>
        <w:t>4</w:t>
      </w:r>
      <w:r w:rsidRPr="004959FB">
        <w:t>.</w:t>
      </w:r>
      <w:r>
        <w:t>4</w:t>
      </w:r>
      <w:r w:rsidRPr="004959FB">
        <w:t xml:space="preserve"> points from the average pre-assessment score of </w:t>
      </w:r>
      <w:r>
        <w:t>41.4</w:t>
      </w:r>
      <w:r w:rsidRPr="004959FB">
        <w:t xml:space="preserve">%. </w:t>
      </w:r>
      <w:r w:rsidRPr="004959FB">
        <w:rPr>
          <w:highlight w:val="yellow"/>
        </w:rPr>
        <w:t>(P3)</w:t>
      </w:r>
      <w:r w:rsidRPr="004959FB">
        <w:t xml:space="preserve"> Individual students increased their scores by anywhere from </w:t>
      </w:r>
      <w:r>
        <w:t>30</w:t>
      </w:r>
      <w:r w:rsidRPr="004959FB">
        <w:t xml:space="preserve"> points to </w:t>
      </w:r>
      <w:r>
        <w:t>55</w:t>
      </w:r>
      <w:r w:rsidRPr="004959FB">
        <w:t xml:space="preserve"> points. </w:t>
      </w:r>
      <w:r>
        <w:rPr>
          <w:highlight w:val="yellow"/>
        </w:rPr>
        <w:t>(</w:t>
      </w:r>
      <w:r w:rsidRPr="00660FAE">
        <w:rPr>
          <w:highlight w:val="yellow"/>
        </w:rPr>
        <w:t>P4)</w:t>
      </w:r>
      <w:r>
        <w:t xml:space="preserve"> </w:t>
      </w:r>
      <w:r w:rsidRPr="004959FB">
        <w:t xml:space="preserve">The graphs on the next pages show the individual student scores on the pre/post assessment for each student in the </w:t>
      </w:r>
      <w:r>
        <w:t>third grade class</w:t>
      </w:r>
      <w:r w:rsidRPr="004959FB">
        <w:t xml:space="preserve"> in which </w:t>
      </w:r>
      <w:proofErr w:type="gramStart"/>
      <w:r w:rsidRPr="004959FB">
        <w:t>I</w:t>
      </w:r>
      <w:proofErr w:type="gramEnd"/>
      <w:r w:rsidRPr="004959FB">
        <w:t xml:space="preserve"> taught this unit.</w:t>
      </w:r>
      <w:r>
        <w:t xml:space="preserve"> </w:t>
      </w:r>
      <w:r w:rsidRPr="004959FB">
        <w:rPr>
          <w:i/>
          <w:noProof/>
          <w:lang w:eastAsia="en-US"/>
        </w:rPr>
        <w:drawing>
          <wp:inline distT="0" distB="0" distL="0" distR="0">
            <wp:extent cx="5943600" cy="401955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F47B6" w:rsidRDefault="00CF47B6" w:rsidP="00CF47B6">
      <w:pPr>
        <w:pStyle w:val="APABodyParagraph"/>
        <w:spacing w:line="360" w:lineRule="auto"/>
      </w:pPr>
      <w:r w:rsidRPr="004959FB">
        <w:rPr>
          <w:highlight w:val="yellow"/>
        </w:rPr>
        <w:t>(P2)</w:t>
      </w:r>
    </w:p>
    <w:p w:rsidR="00CF47B6" w:rsidRDefault="00CF47B6" w:rsidP="00CF47B6">
      <w:pPr>
        <w:pStyle w:val="APABodyParagraph"/>
        <w:spacing w:line="360" w:lineRule="auto"/>
      </w:pPr>
    </w:p>
    <w:p w:rsidR="00CF47B6" w:rsidRDefault="00CF47B6" w:rsidP="00CF47B6">
      <w:pPr>
        <w:pStyle w:val="APABodyParagraph"/>
      </w:pPr>
      <w:r w:rsidRPr="004959FB">
        <w:rPr>
          <w:noProof/>
          <w:lang w:eastAsia="en-US"/>
        </w:rPr>
        <w:lastRenderedPageBreak/>
        <w:drawing>
          <wp:inline distT="0" distB="0" distL="0" distR="0">
            <wp:extent cx="5943600" cy="3598545"/>
            <wp:effectExtent l="19050" t="0" r="19050" b="19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F47B6" w:rsidRDefault="00CF47B6" w:rsidP="00CF47B6">
      <w:pPr>
        <w:pStyle w:val="APABodyParagraph"/>
      </w:pPr>
      <w:r w:rsidRPr="009631F0">
        <w:rPr>
          <w:noProof/>
          <w:lang w:eastAsia="en-US"/>
        </w:rPr>
        <w:drawing>
          <wp:inline distT="0" distB="0" distL="0" distR="0">
            <wp:extent cx="5514975" cy="3390900"/>
            <wp:effectExtent l="19050" t="0" r="9525" b="0"/>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F47B6" w:rsidRDefault="00CF47B6" w:rsidP="00CF47B6">
      <w:pPr>
        <w:pStyle w:val="APABodyParagraph"/>
      </w:pPr>
      <w:r>
        <w:t xml:space="preserve">Before instruction, four of </w:t>
      </w:r>
      <w:proofErr w:type="gramStart"/>
      <w:r>
        <w:t>my</w:t>
      </w:r>
      <w:proofErr w:type="gramEnd"/>
      <w:r>
        <w:t xml:space="preserve"> students demonstrated mastery of some but not all of my learning goals. This changed when at the end of the unit, 85.6% of </w:t>
      </w:r>
      <w:proofErr w:type="gramStart"/>
      <w:r>
        <w:t>my</w:t>
      </w:r>
      <w:proofErr w:type="gramEnd"/>
      <w:r>
        <w:t xml:space="preserve"> students had demonstrated </w:t>
      </w:r>
      <w:r>
        <w:lastRenderedPageBreak/>
        <w:t xml:space="preserve">mastery of Learning Goal 1, 82.2% had mastered Learning Goal 2, 84.4% of my students had mastered Learning Goal 3, and 91.1% of my students had mastered Learning Goal 4. In addition, 72.2% of my students demonstrated mastery of all four learning goals, and only 11.1% had only shown mastery of </w:t>
      </w:r>
      <w:proofErr w:type="gramStart"/>
      <w:r>
        <w:t>3</w:t>
      </w:r>
      <w:proofErr w:type="gramEnd"/>
      <w:r>
        <w:t xml:space="preserve"> of the 4 goals. </w:t>
      </w:r>
      <w:r w:rsidRPr="00660FAE">
        <w:rPr>
          <w:highlight w:val="yellow"/>
        </w:rPr>
        <w:t>(P5</w:t>
      </w:r>
      <w:r>
        <w:rPr>
          <w:highlight w:val="yellow"/>
        </w:rPr>
        <w:t>/P6</w:t>
      </w:r>
      <w:r w:rsidRPr="00660FAE">
        <w:rPr>
          <w:highlight w:val="yellow"/>
        </w:rPr>
        <w:t>)</w:t>
      </w:r>
      <w:r>
        <w:t xml:space="preserve"> </w:t>
      </w:r>
      <w:proofErr w:type="gramStart"/>
      <w:r>
        <w:t>I</w:t>
      </w:r>
      <w:proofErr w:type="gramEnd"/>
      <w:r>
        <w:t xml:space="preserve"> attribute the marked improvement on the buildable nature of the unit. Because each goal used skills gained on the previous one, it was easier to master more of the learning goals. Since most students have shown mastery of all four goals, </w:t>
      </w:r>
      <w:proofErr w:type="gramStart"/>
      <w:r>
        <w:t>I</w:t>
      </w:r>
      <w:proofErr w:type="gramEnd"/>
      <w:r>
        <w:t xml:space="preserve"> plan to move on to the next math concept but pull out those who did not demonstrate mastery in small groups in the morning. </w:t>
      </w:r>
      <w:proofErr w:type="gramStart"/>
      <w:r>
        <w:t>I</w:t>
      </w:r>
      <w:proofErr w:type="gramEnd"/>
      <w:r>
        <w:t xml:space="preserve"> will use the re-teaches available by the GO Math! </w:t>
      </w:r>
      <w:proofErr w:type="gramStart"/>
      <w:r>
        <w:t>program</w:t>
      </w:r>
      <w:proofErr w:type="gramEnd"/>
      <w:r>
        <w:t xml:space="preserve"> which breaks down the material into easier to digest pieces. This will give </w:t>
      </w:r>
      <w:proofErr w:type="gramStart"/>
      <w:r>
        <w:t>me</w:t>
      </w:r>
      <w:proofErr w:type="gramEnd"/>
      <w:r>
        <w:t xml:space="preserve"> an opportunity to continue to review these concepts with them while they do not miss any class time spent in whole group math. Because there are only a couple students who need help, I will be able to identify what it is they are struggling with and can help them one on one during the small groups; providing the chance to directly support them and provide remediation. </w:t>
      </w:r>
      <w:r w:rsidRPr="00660FAE">
        <w:rPr>
          <w:highlight w:val="yellow"/>
        </w:rPr>
        <w:t>(P7</w:t>
      </w:r>
      <w:r>
        <w:t xml:space="preserve">) </w:t>
      </w:r>
    </w:p>
    <w:p w:rsidR="00CF47B6" w:rsidRDefault="00CF47B6" w:rsidP="00CF47B6">
      <w:pPr>
        <w:pStyle w:val="APABodyParagraph"/>
      </w:pPr>
      <w:r>
        <w:t xml:space="preserve">One student in </w:t>
      </w:r>
      <w:proofErr w:type="gramStart"/>
      <w:r>
        <w:t>my</w:t>
      </w:r>
      <w:proofErr w:type="gramEnd"/>
      <w:r>
        <w:t xml:space="preserve"> class failed the post-assessment, while another two did not fail but scored below the level of mastery. Two of these students (S36 and S38) are ESE and have a hard time keeping up with 3</w:t>
      </w:r>
      <w:r w:rsidRPr="007E51A9">
        <w:rPr>
          <w:vertAlign w:val="superscript"/>
        </w:rPr>
        <w:t>rd</w:t>
      </w:r>
      <w:r>
        <w:t xml:space="preserve"> grade level math. S36 is opposed to instruction and was unwilling to complete most of her assignments. She has behavioral problems and believes herself to be unintelligent. </w:t>
      </w:r>
      <w:proofErr w:type="gramStart"/>
      <w:r>
        <w:t>I</w:t>
      </w:r>
      <w:proofErr w:type="gramEnd"/>
      <w:r>
        <w:t xml:space="preserve"> attempted to provide her with opportunities to succeed and demonstrate her knowledge in a safe setting but her motivation and attitude will not allow her to try. During the post-assessment, she broke down in tears because she did not want to take the test. Even after reading the questions to </w:t>
      </w:r>
      <w:proofErr w:type="gramStart"/>
      <w:r>
        <w:t>her</w:t>
      </w:r>
      <w:proofErr w:type="gramEnd"/>
      <w:r>
        <w:t xml:space="preserve"> she would not take time to process the information and write down a seemingly random answer. She did not respond to </w:t>
      </w:r>
      <w:proofErr w:type="gramStart"/>
      <w:r>
        <w:t>my</w:t>
      </w:r>
      <w:proofErr w:type="gramEnd"/>
      <w:r>
        <w:t xml:space="preserve"> efforts to improve upon her pre-assessment scores. I believe that S38 will do better with </w:t>
      </w:r>
      <w:proofErr w:type="gramStart"/>
      <w:r>
        <w:t>remediation</w:t>
      </w:r>
      <w:proofErr w:type="gramEnd"/>
      <w:r>
        <w:t xml:space="preserve"> as he has no behavioral </w:t>
      </w:r>
      <w:r>
        <w:lastRenderedPageBreak/>
        <w:t xml:space="preserve">problems, just a minor learning disability. The student that failed (S37) was the student in </w:t>
      </w:r>
      <w:proofErr w:type="spellStart"/>
      <w:r>
        <w:t>RtI</w:t>
      </w:r>
      <w:proofErr w:type="spellEnd"/>
      <w:r>
        <w:t xml:space="preserve"> for a suspected Emotional Behavioral Disability. This student is reluctant to ask for help and seemed to do well throughout the entire unit. On hindsight, </w:t>
      </w:r>
      <w:proofErr w:type="gramStart"/>
      <w:r>
        <w:t>I</w:t>
      </w:r>
      <w:proofErr w:type="gramEnd"/>
      <w:r>
        <w:t xml:space="preserve"> should have paid closer attention to her work and ask for more evidence as I noticed upon review that she did better in partnered activities. </w:t>
      </w:r>
      <w:proofErr w:type="gramStart"/>
      <w:r>
        <w:t>I</w:t>
      </w:r>
      <w:proofErr w:type="gramEnd"/>
      <w:r>
        <w:t xml:space="preserve"> pulled her during the post-test for accommodation at the back table, but just like S36, she did not take care in her answers. However, she seemed to be concerned if she passes or not as she asked immediately for her score, but did not put forth the effort. </w:t>
      </w:r>
      <w:proofErr w:type="gramStart"/>
      <w:r>
        <w:t>I</w:t>
      </w:r>
      <w:proofErr w:type="gramEnd"/>
      <w:r>
        <w:t xml:space="preserve"> know that she had just started to take a new medication that might have affected her work. If she took the post-assessment again after remediation, she would be likely to improve. </w:t>
      </w:r>
      <w:r>
        <w:rPr>
          <w:highlight w:val="yellow"/>
        </w:rPr>
        <w:t>(P10</w:t>
      </w:r>
      <w:r w:rsidRPr="00660FAE">
        <w:rPr>
          <w:highlight w:val="yellow"/>
        </w:rPr>
        <w:t>)</w:t>
      </w:r>
    </w:p>
    <w:p w:rsidR="008A75BE" w:rsidRPr="00CF47B6" w:rsidRDefault="00457838" w:rsidP="00CF47B6"/>
    <w:sectPr w:rsidR="008A75BE" w:rsidRPr="00CF47B6" w:rsidSect="00912746">
      <w:head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838" w:rsidRDefault="00457838" w:rsidP="00F60E8E">
      <w:pPr>
        <w:spacing w:line="240" w:lineRule="auto"/>
      </w:pPr>
      <w:r>
        <w:separator/>
      </w:r>
    </w:p>
  </w:endnote>
  <w:endnote w:type="continuationSeparator" w:id="0">
    <w:p w:rsidR="00457838" w:rsidRDefault="00457838" w:rsidP="00F60E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838" w:rsidRDefault="00457838" w:rsidP="00F60E8E">
      <w:pPr>
        <w:spacing w:line="240" w:lineRule="auto"/>
      </w:pPr>
      <w:r>
        <w:separator/>
      </w:r>
    </w:p>
  </w:footnote>
  <w:footnote w:type="continuationSeparator" w:id="0">
    <w:p w:rsidR="00457838" w:rsidRDefault="00457838" w:rsidP="00F60E8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2A" w:rsidRDefault="004470AC" w:rsidP="0075375C">
    <w:pPr>
      <w:pStyle w:val="Header"/>
      <w:tabs>
        <w:tab w:val="clear" w:pos="4680"/>
      </w:tabs>
      <w:spacing w:after="240" w:line="480" w:lineRule="auto"/>
    </w:pPr>
    <w:r w:rsidRPr="00B46083">
      <w:rPr>
        <w:caps/>
      </w:rPr>
      <w:t>Teacher Work Sample</w:t>
    </w:r>
    <w:r>
      <w:tab/>
    </w:r>
    <w:r w:rsidR="0062191D">
      <w:t>Nikkee Johnson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27677"/>
    <w:rsid w:val="001A6C1D"/>
    <w:rsid w:val="00327677"/>
    <w:rsid w:val="0043745A"/>
    <w:rsid w:val="004400F7"/>
    <w:rsid w:val="004470AC"/>
    <w:rsid w:val="00457838"/>
    <w:rsid w:val="00476E33"/>
    <w:rsid w:val="005C1500"/>
    <w:rsid w:val="0062191D"/>
    <w:rsid w:val="00656659"/>
    <w:rsid w:val="00657DF0"/>
    <w:rsid w:val="00B1136C"/>
    <w:rsid w:val="00C900B0"/>
    <w:rsid w:val="00CB362D"/>
    <w:rsid w:val="00CF47B6"/>
    <w:rsid w:val="00D53BC9"/>
    <w:rsid w:val="00E47D0F"/>
    <w:rsid w:val="00EF218F"/>
    <w:rsid w:val="00F60E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7677"/>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327677"/>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677"/>
    <w:rPr>
      <w:rFonts w:ascii="Times New Roman" w:eastAsiaTheme="minorEastAsia" w:hAnsi="Times New Roman"/>
      <w:b/>
      <w:sz w:val="28"/>
      <w:lang w:eastAsia="zh-CN"/>
    </w:rPr>
  </w:style>
  <w:style w:type="paragraph" w:customStyle="1" w:styleId="APABodyParagraph">
    <w:name w:val="APA Body Paragraph"/>
    <w:basedOn w:val="Normal"/>
    <w:link w:val="APABodyParagraphChar"/>
    <w:qFormat/>
    <w:rsid w:val="00327677"/>
    <w:pPr>
      <w:ind w:firstLine="720"/>
    </w:pPr>
  </w:style>
  <w:style w:type="character" w:customStyle="1" w:styleId="APABodyParagraphChar">
    <w:name w:val="APA Body Paragraph Char"/>
    <w:basedOn w:val="DefaultParagraphFont"/>
    <w:link w:val="APABodyParagraph"/>
    <w:rsid w:val="00327677"/>
    <w:rPr>
      <w:rFonts w:ascii="Times New Roman" w:eastAsiaTheme="minorEastAsia" w:hAnsi="Times New Roman"/>
      <w:sz w:val="24"/>
      <w:lang w:eastAsia="zh-CN"/>
    </w:rPr>
  </w:style>
  <w:style w:type="paragraph" w:styleId="Header">
    <w:name w:val="header"/>
    <w:basedOn w:val="Normal"/>
    <w:link w:val="HeaderChar"/>
    <w:uiPriority w:val="99"/>
    <w:unhideWhenUsed/>
    <w:rsid w:val="00327677"/>
    <w:pPr>
      <w:tabs>
        <w:tab w:val="center" w:pos="4680"/>
        <w:tab w:val="right" w:pos="9360"/>
      </w:tabs>
      <w:spacing w:line="240" w:lineRule="auto"/>
    </w:pPr>
  </w:style>
  <w:style w:type="character" w:customStyle="1" w:styleId="HeaderChar">
    <w:name w:val="Header Char"/>
    <w:basedOn w:val="DefaultParagraphFont"/>
    <w:link w:val="Header"/>
    <w:uiPriority w:val="99"/>
    <w:rsid w:val="00327677"/>
    <w:rPr>
      <w:rFonts w:ascii="Times New Roman" w:eastAsiaTheme="minorEastAsia" w:hAnsi="Times New Roman"/>
      <w:sz w:val="24"/>
      <w:lang w:eastAsia="zh-CN"/>
    </w:rPr>
  </w:style>
  <w:style w:type="paragraph" w:customStyle="1" w:styleId="APANumberedList">
    <w:name w:val="APA Numbered List"/>
    <w:basedOn w:val="Normal"/>
    <w:link w:val="APANumberedListChar"/>
    <w:qFormat/>
    <w:rsid w:val="00EF218F"/>
    <w:pPr>
      <w:numPr>
        <w:numId w:val="1"/>
      </w:numPr>
      <w:ind w:left="1080"/>
    </w:pPr>
  </w:style>
  <w:style w:type="character" w:customStyle="1" w:styleId="APANumberedListChar">
    <w:name w:val="APA Numbered List Char"/>
    <w:basedOn w:val="DefaultParagraphFont"/>
    <w:link w:val="APANumberedList"/>
    <w:rsid w:val="00EF218F"/>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476E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E33"/>
    <w:rPr>
      <w:rFonts w:ascii="Tahoma" w:eastAsiaTheme="minorEastAsia" w:hAnsi="Tahoma" w:cs="Tahoma"/>
      <w:sz w:val="16"/>
      <w:szCs w:val="16"/>
      <w:lang w:eastAsia="zh-CN"/>
    </w:rPr>
  </w:style>
  <w:style w:type="paragraph" w:styleId="Footer">
    <w:name w:val="footer"/>
    <w:basedOn w:val="Normal"/>
    <w:link w:val="FooterChar"/>
    <w:uiPriority w:val="99"/>
    <w:semiHidden/>
    <w:unhideWhenUsed/>
    <w:rsid w:val="0062191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62191D"/>
    <w:rPr>
      <w:rFonts w:ascii="Times New Roman" w:eastAsiaTheme="minorEastAsia" w:hAnsi="Times New Roman"/>
      <w:sz w:val="24"/>
      <w:lang w:eastAsia="zh-CN"/>
    </w:rPr>
  </w:style>
  <w:style w:type="table" w:styleId="TableGrid">
    <w:name w:val="Table Grid"/>
    <w:basedOn w:val="TableNormal"/>
    <w:uiPriority w:val="59"/>
    <w:rsid w:val="0062191D"/>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191D"/>
    <w:pPr>
      <w:spacing w:before="100" w:beforeAutospacing="1" w:after="100" w:afterAutospacing="1" w:line="240" w:lineRule="auto"/>
    </w:pPr>
    <w:rPr>
      <w:rFonts w:eastAsia="Times New Roman" w:cs="Times New Roman"/>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Pre/Post-Assessment Scores for All Students</a:t>
            </a:r>
          </a:p>
        </c:rich>
      </c:tx>
      <c:layout>
        <c:manualLayout>
          <c:xMode val="edge"/>
          <c:yMode val="edge"/>
          <c:x val="9.1470152769365334E-2"/>
          <c:y val="2.0678931721212607E-3"/>
        </c:manualLayout>
      </c:layout>
    </c:title>
    <c:plotArea>
      <c:layout>
        <c:manualLayout>
          <c:layoutTarget val="inner"/>
          <c:xMode val="edge"/>
          <c:yMode val="edge"/>
          <c:x val="7.3551855475242817E-2"/>
          <c:y val="0.14763027026938957"/>
          <c:w val="0.90875614613312061"/>
          <c:h val="0.71874008429091063"/>
        </c:manualLayout>
      </c:layout>
      <c:barChart>
        <c:barDir val="col"/>
        <c:grouping val="clustered"/>
        <c:ser>
          <c:idx val="0"/>
          <c:order val="0"/>
          <c:tx>
            <c:strRef>
              <c:f>'Internal Calculations'!$V$2</c:f>
              <c:strCache>
                <c:ptCount val="1"/>
                <c:pt idx="0">
                  <c:v>Pre%</c:v>
                </c:pt>
              </c:strCache>
            </c:strRef>
          </c:tx>
          <c:dLbls>
            <c:spPr>
              <a:noFill/>
              <a:ln>
                <a:noFill/>
              </a:ln>
              <a:effectLst/>
            </c:spPr>
            <c:txPr>
              <a:bodyPr rot="-5400000" vert="horz"/>
              <a:lstStyle/>
              <a:p>
                <a:pPr algn="ct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TWS_GraphMaker_5.1.2.xlsx!Labels_AllStudents</c:f>
              <c:strCache>
                <c:ptCount val="18"/>
                <c:pt idx="0">
                  <c:v>G</c:v>
                </c:pt>
                <c:pt idx="1">
                  <c:v>N</c:v>
                </c:pt>
                <c:pt idx="2">
                  <c:v>A</c:v>
                </c:pt>
                <c:pt idx="3">
                  <c:v>I</c:v>
                </c:pt>
                <c:pt idx="4">
                  <c:v>O</c:v>
                </c:pt>
                <c:pt idx="5">
                  <c:v>F</c:v>
                </c:pt>
                <c:pt idx="6">
                  <c:v>E</c:v>
                </c:pt>
                <c:pt idx="7">
                  <c:v>R</c:v>
                </c:pt>
                <c:pt idx="8">
                  <c:v>M</c:v>
                </c:pt>
                <c:pt idx="9">
                  <c:v>C</c:v>
                </c:pt>
                <c:pt idx="10">
                  <c:v>D</c:v>
                </c:pt>
                <c:pt idx="11">
                  <c:v>H</c:v>
                </c:pt>
                <c:pt idx="12">
                  <c:v>Q</c:v>
                </c:pt>
                <c:pt idx="13">
                  <c:v>P</c:v>
                </c:pt>
                <c:pt idx="14">
                  <c:v>K</c:v>
                </c:pt>
                <c:pt idx="15">
                  <c:v>J</c:v>
                </c:pt>
                <c:pt idx="16">
                  <c:v>B</c:v>
                </c:pt>
                <c:pt idx="17">
                  <c:v>L</c:v>
                </c:pt>
              </c:strCache>
            </c:strRef>
          </c:cat>
          <c:val>
            <c:numRef>
              <c:f>TWS_GraphMaker_5.1.2.xlsx!PreScores_AllStudents</c:f>
              <c:numCache>
                <c:formatCode>0.0%</c:formatCode>
                <c:ptCount val="18"/>
                <c:pt idx="0">
                  <c:v>0.15000000000000013</c:v>
                </c:pt>
                <c:pt idx="1">
                  <c:v>0.1</c:v>
                </c:pt>
                <c:pt idx="2">
                  <c:v>0.2</c:v>
                </c:pt>
                <c:pt idx="3">
                  <c:v>0.35000000000000026</c:v>
                </c:pt>
                <c:pt idx="4">
                  <c:v>0.35000000000000026</c:v>
                </c:pt>
                <c:pt idx="5">
                  <c:v>0.4</c:v>
                </c:pt>
                <c:pt idx="6">
                  <c:v>0.25</c:v>
                </c:pt>
                <c:pt idx="7">
                  <c:v>0.45</c:v>
                </c:pt>
                <c:pt idx="8">
                  <c:v>0.30000000000000027</c:v>
                </c:pt>
                <c:pt idx="9">
                  <c:v>0.45</c:v>
                </c:pt>
                <c:pt idx="10">
                  <c:v>0.5</c:v>
                </c:pt>
                <c:pt idx="11">
                  <c:v>0.55000000000000004</c:v>
                </c:pt>
                <c:pt idx="12">
                  <c:v>0.55000000000000004</c:v>
                </c:pt>
                <c:pt idx="13">
                  <c:v>0.45</c:v>
                </c:pt>
                <c:pt idx="14">
                  <c:v>0.55000000000000004</c:v>
                </c:pt>
                <c:pt idx="15">
                  <c:v>0.5</c:v>
                </c:pt>
                <c:pt idx="16">
                  <c:v>0.6500000000000008</c:v>
                </c:pt>
                <c:pt idx="17">
                  <c:v>0.70000000000000051</c:v>
                </c:pt>
              </c:numCache>
            </c:numRef>
          </c:val>
        </c:ser>
        <c:ser>
          <c:idx val="1"/>
          <c:order val="1"/>
          <c:tx>
            <c:strRef>
              <c:f>'Internal Calculations'!$AO$2</c:f>
              <c:strCache>
                <c:ptCount val="1"/>
                <c:pt idx="0">
                  <c:v>Post%</c:v>
                </c:pt>
              </c:strCache>
            </c:strRef>
          </c:tx>
          <c:dLbls>
            <c:spPr>
              <a:noFill/>
              <a:ln>
                <a:noFill/>
              </a:ln>
              <a:effectLst/>
            </c:spPr>
            <c:txPr>
              <a:bodyPr rot="-5400000" vert="horz"/>
              <a:lstStyle/>
              <a:p>
                <a:pPr algn="ct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TWS_GraphMaker_5.1.2.xlsx!Labels_AllStudents</c:f>
              <c:strCache>
                <c:ptCount val="18"/>
                <c:pt idx="0">
                  <c:v>G</c:v>
                </c:pt>
                <c:pt idx="1">
                  <c:v>N</c:v>
                </c:pt>
                <c:pt idx="2">
                  <c:v>A</c:v>
                </c:pt>
                <c:pt idx="3">
                  <c:v>I</c:v>
                </c:pt>
                <c:pt idx="4">
                  <c:v>O</c:v>
                </c:pt>
                <c:pt idx="5">
                  <c:v>F</c:v>
                </c:pt>
                <c:pt idx="6">
                  <c:v>E</c:v>
                </c:pt>
                <c:pt idx="7">
                  <c:v>R</c:v>
                </c:pt>
                <c:pt idx="8">
                  <c:v>M</c:v>
                </c:pt>
                <c:pt idx="9">
                  <c:v>C</c:v>
                </c:pt>
                <c:pt idx="10">
                  <c:v>D</c:v>
                </c:pt>
                <c:pt idx="11">
                  <c:v>H</c:v>
                </c:pt>
                <c:pt idx="12">
                  <c:v>Q</c:v>
                </c:pt>
                <c:pt idx="13">
                  <c:v>P</c:v>
                </c:pt>
                <c:pt idx="14">
                  <c:v>K</c:v>
                </c:pt>
                <c:pt idx="15">
                  <c:v>J</c:v>
                </c:pt>
                <c:pt idx="16">
                  <c:v>B</c:v>
                </c:pt>
                <c:pt idx="17">
                  <c:v>L</c:v>
                </c:pt>
              </c:strCache>
            </c:strRef>
          </c:cat>
          <c:val>
            <c:numRef>
              <c:f>TWS_GraphMaker_5.1.2.xlsx!PostScores_AllStudents</c:f>
              <c:numCache>
                <c:formatCode>0.0%</c:formatCode>
                <c:ptCount val="18"/>
                <c:pt idx="0">
                  <c:v>0.55000000000000004</c:v>
                </c:pt>
                <c:pt idx="1">
                  <c:v>0.6500000000000008</c:v>
                </c:pt>
                <c:pt idx="2">
                  <c:v>0.75000000000000056</c:v>
                </c:pt>
                <c:pt idx="3">
                  <c:v>0.8</c:v>
                </c:pt>
                <c:pt idx="4">
                  <c:v>0.8</c:v>
                </c:pt>
                <c:pt idx="5">
                  <c:v>0.8</c:v>
                </c:pt>
                <c:pt idx="6">
                  <c:v>0.85000000000000053</c:v>
                </c:pt>
                <c:pt idx="7">
                  <c:v>0.85000000000000053</c:v>
                </c:pt>
                <c:pt idx="8">
                  <c:v>0.9</c:v>
                </c:pt>
                <c:pt idx="9">
                  <c:v>0.9</c:v>
                </c:pt>
                <c:pt idx="10">
                  <c:v>0.9</c:v>
                </c:pt>
                <c:pt idx="11">
                  <c:v>0.9</c:v>
                </c:pt>
                <c:pt idx="12">
                  <c:v>0.9</c:v>
                </c:pt>
                <c:pt idx="13">
                  <c:v>0.95000000000000051</c:v>
                </c:pt>
                <c:pt idx="14">
                  <c:v>0.95000000000000051</c:v>
                </c:pt>
                <c:pt idx="15">
                  <c:v>1</c:v>
                </c:pt>
                <c:pt idx="16">
                  <c:v>1</c:v>
                </c:pt>
                <c:pt idx="17">
                  <c:v>1</c:v>
                </c:pt>
              </c:numCache>
            </c:numRef>
          </c:val>
        </c:ser>
        <c:gapWidth val="75"/>
        <c:overlap val="-25"/>
        <c:axId val="93439488"/>
        <c:axId val="93441408"/>
      </c:barChart>
      <c:catAx>
        <c:axId val="93439488"/>
        <c:scaling>
          <c:orientation val="minMax"/>
        </c:scaling>
        <c:axPos val="b"/>
        <c:numFmt formatCode="General" sourceLinked="1"/>
        <c:majorTickMark val="none"/>
        <c:tickLblPos val="nextTo"/>
        <c:txPr>
          <a:bodyPr rot="-5400000" vert="horz"/>
          <a:lstStyle/>
          <a:p>
            <a:pPr>
              <a:defRPr sz="1000" b="0" i="0" u="none" strike="noStrike" baseline="0">
                <a:solidFill>
                  <a:srgbClr val="000000"/>
                </a:solidFill>
                <a:latin typeface="Calibri"/>
                <a:ea typeface="Calibri"/>
                <a:cs typeface="Calibri"/>
              </a:defRPr>
            </a:pPr>
            <a:endParaRPr lang="en-US"/>
          </a:p>
        </c:txPr>
        <c:crossAx val="93441408"/>
        <c:crosses val="autoZero"/>
        <c:auto val="1"/>
        <c:lblAlgn val="ctr"/>
        <c:lblOffset val="100"/>
      </c:catAx>
      <c:valAx>
        <c:axId val="93441408"/>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93439488"/>
        <c:crosses val="autoZero"/>
        <c:crossBetween val="between"/>
        <c:majorUnit val="0.1"/>
      </c:valAx>
    </c:plotArea>
    <c:legend>
      <c:legendPos val="b"/>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Averages for All Students</a:t>
            </a:r>
          </a:p>
        </c:rich>
      </c:tx>
      <c:layout>
        <c:manualLayout>
          <c:xMode val="edge"/>
          <c:yMode val="edge"/>
          <c:x val="0.17694046671132471"/>
          <c:y val="3.3229038982264432E-2"/>
        </c:manualLayout>
      </c:layout>
    </c:title>
    <c:plotArea>
      <c:layout>
        <c:manualLayout>
          <c:layoutTarget val="inner"/>
          <c:xMode val="edge"/>
          <c:yMode val="edge"/>
          <c:x val="0.11167488679299695"/>
          <c:y val="0.16726084063332591"/>
          <c:w val="0.86146308634497615"/>
          <c:h val="0.64044268661520465"/>
        </c:manualLayout>
      </c:layout>
      <c:barChart>
        <c:barDir val="col"/>
        <c:grouping val="clustered"/>
        <c:varyColors val="1"/>
        <c:ser>
          <c:idx val="0"/>
          <c:order val="0"/>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SubgroupGraphs_Hidden!$B$4:$B$5</c:f>
              <c:strCache>
                <c:ptCount val="2"/>
                <c:pt idx="0">
                  <c:v>Pre %</c:v>
                </c:pt>
                <c:pt idx="1">
                  <c:v>Post %</c:v>
                </c:pt>
              </c:strCache>
            </c:strRef>
          </c:cat>
          <c:val>
            <c:numRef>
              <c:f>SubgroupGraphs_Hidden!$C$4:$C$5</c:f>
              <c:numCache>
                <c:formatCode>0.0%</c:formatCode>
                <c:ptCount val="2"/>
                <c:pt idx="0">
                  <c:v>0.41388888888888958</c:v>
                </c:pt>
                <c:pt idx="1">
                  <c:v>0.85833333333333361</c:v>
                </c:pt>
              </c:numCache>
            </c:numRef>
          </c:val>
        </c:ser>
        <c:gapWidth val="75"/>
        <c:overlap val="-25"/>
        <c:axId val="103012608"/>
        <c:axId val="108965888"/>
      </c:barChart>
      <c:catAx>
        <c:axId val="103012608"/>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08965888"/>
        <c:crosses val="autoZero"/>
        <c:auto val="1"/>
        <c:lblAlgn val="ctr"/>
        <c:lblOffset val="100"/>
      </c:catAx>
      <c:valAx>
        <c:axId val="108965888"/>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103012608"/>
        <c:crosses val="autoZero"/>
        <c:crossBetween val="between"/>
        <c:majorUnit val="0.1"/>
      </c:valAx>
    </c:plotArea>
    <c:legend>
      <c:legendPos val="b"/>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Scores by Learning Goal</a:t>
            </a:r>
          </a:p>
        </c:rich>
      </c:tx>
      <c:layout>
        <c:manualLayout>
          <c:xMode val="edge"/>
          <c:yMode val="edge"/>
          <c:x val="0.1769403559537393"/>
          <c:y val="3.322893960288862E-2"/>
        </c:manualLayout>
      </c:layout>
    </c:title>
    <c:plotArea>
      <c:layout>
        <c:manualLayout>
          <c:layoutTarget val="inner"/>
          <c:xMode val="edge"/>
          <c:yMode val="edge"/>
          <c:x val="0.11167488679299695"/>
          <c:y val="0.22537723991769743"/>
          <c:w val="0.86146308634497615"/>
          <c:h val="0.55727055544731818"/>
        </c:manualLayout>
      </c:layout>
      <c:barChart>
        <c:barDir val="col"/>
        <c:grouping val="clustered"/>
        <c:ser>
          <c:idx val="0"/>
          <c:order val="0"/>
          <c:tx>
            <c:v>Pre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TWS_GraphMaker_5.1.2.xlsx!LG_PreScores</c:f>
              <c:numCache>
                <c:formatCode>0.0%</c:formatCode>
                <c:ptCount val="4"/>
                <c:pt idx="0">
                  <c:v>0.35555555555555557</c:v>
                </c:pt>
                <c:pt idx="1">
                  <c:v>0.37777777777777827</c:v>
                </c:pt>
                <c:pt idx="2">
                  <c:v>0.43333333333333335</c:v>
                </c:pt>
                <c:pt idx="3">
                  <c:v>0.48888888888888959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ser>
          <c:idx val="1"/>
          <c:order val="1"/>
          <c:tx>
            <c:v>Post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TWS_GraphMaker_5.1.2.xlsx!LG_PostScores</c:f>
              <c:numCache>
                <c:formatCode>0.0%</c:formatCode>
                <c:ptCount val="4"/>
                <c:pt idx="0">
                  <c:v>0.85555555555555562</c:v>
                </c:pt>
                <c:pt idx="1">
                  <c:v>0.8222222222222223</c:v>
                </c:pt>
                <c:pt idx="2">
                  <c:v>0.844444444444445</c:v>
                </c:pt>
                <c:pt idx="3">
                  <c:v>0.91111111111111109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gapWidth val="75"/>
        <c:overlap val="-25"/>
        <c:axId val="108942464"/>
        <c:axId val="108944000"/>
      </c:barChart>
      <c:catAx>
        <c:axId val="108942464"/>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08944000"/>
        <c:crosses val="autoZero"/>
        <c:auto val="1"/>
        <c:lblAlgn val="ctr"/>
        <c:lblOffset val="100"/>
      </c:catAx>
      <c:valAx>
        <c:axId val="108944000"/>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108942464"/>
        <c:crosses val="autoZero"/>
        <c:crossBetween val="between"/>
        <c:majorUnit val="0.1"/>
      </c:valAx>
    </c:plotArea>
    <c:legend>
      <c:legendPos val="b"/>
      <c:layout>
        <c:manualLayout>
          <c:xMode val="edge"/>
          <c:yMode val="edge"/>
          <c:x val="0.39189616315628523"/>
          <c:y val="0.84807924433174664"/>
          <c:w val="0.21132355805347652"/>
          <c:h val="0.12266085383394876"/>
        </c:manualLayout>
      </c:layout>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4</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2</cp:revision>
  <dcterms:created xsi:type="dcterms:W3CDTF">2015-04-23T07:05:00Z</dcterms:created>
  <dcterms:modified xsi:type="dcterms:W3CDTF">2015-04-23T07:05:00Z</dcterms:modified>
</cp:coreProperties>
</file>